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header6.xml" ContentType="application/vnd.openxmlformats-officedocument.wordprocessingml.header+xml"/>
  <Override PartName="/word/theme/theme1.xml" ContentType="application/vnd.openxmlformats-officedocument.theme+xml"/>
  <Override PartName="/word/header7.xml" ContentType="application/vnd.openxmlformats-officedocument.wordprocessingml.header+xml"/>
  <Override PartName="/word/header5.xml" ContentType="application/vnd.openxmlformats-officedocument.wordprocessingml.header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Техниче</w:t>
      </w:r>
      <w:bookmarkStart w:id="0" w:name="_GoBack"/>
      <w:bookmarkEnd w:id="0"/>
      <w:r>
        <w:rPr>
          <w:rFonts w:eastAsia="Calibri"/>
          <w:b/>
          <w:sz w:val="26"/>
          <w:szCs w:val="26"/>
        </w:rPr>
        <w:t>ские требования на оказание услуг</w:t>
      </w:r>
    </w:p>
    <w:p>
      <w:pPr>
        <w:pStyle w:val="Normal"/>
        <w:jc w:val="center"/>
        <w:rPr>
          <w:rStyle w:val="Style10"/>
          <w:b w:val="false"/>
          <w:i w:val="false"/>
          <w:i w:val="false"/>
          <w:shd w:fill="auto" w:val="clear"/>
        </w:rPr>
      </w:pPr>
      <w:r>
        <w:rPr>
          <w:rFonts w:eastAsia="Calibri"/>
          <w:sz w:val="26"/>
          <w:szCs w:val="26"/>
        </w:rPr>
        <w:t>«</w:t>
      </w:r>
      <w:r>
        <w:rPr/>
        <w:t>ОКПД2 70.22.11.000 Консультационные услуги по вопросам стратегического управления: подготовка годового отчета ПАО «РусГидро» (включая информацию об устойчивом развитии)</w:t>
      </w:r>
      <w:r>
        <w:rPr>
          <w:rFonts w:eastAsia="Calibri"/>
          <w:b/>
          <w:i/>
          <w:sz w:val="26"/>
          <w:szCs w:val="26"/>
        </w:rPr>
        <w:t>»</w:t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sz w:val="26"/>
          <w:szCs w:val="26"/>
        </w:rPr>
        <w:t>Лот № 1-КУ-Управление-2026-ИА</w:t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  <w:r>
        <w:br w:type="page"/>
      </w:r>
    </w:p>
    <w:p>
      <w:pPr>
        <w:pStyle w:val="Normal"/>
        <w:jc w:val="center"/>
        <w:rPr/>
      </w:pPr>
      <w:r>
        <w:rPr/>
        <w:t>СОДЕРЖАНИЕ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4"/>
              <w:szCs w:val="24"/>
            </w:rPr>
          </w:pPr>
          <w:r>
            <w:fldChar w:fldCharType="begin"/>
          </w:r>
          <w:r>
            <w:rPr>
              <w:webHidden/>
              <w:rStyle w:val="Style12"/>
              <w:sz w:val="24"/>
              <w:b w:val="false"/>
              <w:szCs w:val="24"/>
              <w:vanish w:val="false"/>
            </w:rPr>
            <w:instrText xml:space="preserve"> TOC \z \o "1-1" \u \h</w:instrText>
          </w:r>
          <w:r>
            <w:rPr>
              <w:webHidden/>
              <w:rStyle w:val="Style12"/>
              <w:sz w:val="24"/>
              <w:b w:val="false"/>
              <w:szCs w:val="24"/>
              <w:vanish w:val="false"/>
            </w:rPr>
            <w:fldChar w:fldCharType="separate"/>
          </w:r>
          <w:hyperlink w:anchor="_Toc146705873">
            <w:r>
              <w:rPr>
                <w:webHidden/>
                <w:rStyle w:val="Style12"/>
                <w:b w:val="false"/>
                <w:vanish w:val="false"/>
                <w:sz w:val="24"/>
                <w:szCs w:val="24"/>
              </w:rPr>
              <w:t>1. Общие сведения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_Toc146705873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2"/>
                <w:b w:val="false"/>
                <w:sz w:val="24"/>
                <w:szCs w:val="2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4"/>
              <w:szCs w:val="24"/>
            </w:rPr>
          </w:pPr>
          <w:hyperlink w:anchor="_Toc146705874">
            <w:r>
              <w:rPr>
                <w:webHidden/>
                <w:rStyle w:val="Style12"/>
                <w:b w:val="false"/>
                <w:iCs/>
                <w:vanish w:val="false"/>
                <w:sz w:val="24"/>
                <w:szCs w:val="24"/>
                <w:lang w:val="en-US"/>
              </w:rPr>
              <w:t xml:space="preserve">2. </w:t>
            </w:r>
            <w:r>
              <w:rPr>
                <w:rStyle w:val="Style12"/>
                <w:b w:val="false"/>
                <w:iCs/>
                <w:sz w:val="24"/>
                <w:szCs w:val="24"/>
              </w:rPr>
              <w:t>Требования к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_Toc146705874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2"/>
                <w:b w:val="false"/>
                <w:sz w:val="24"/>
                <w:szCs w:val="24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4"/>
              <w:szCs w:val="24"/>
            </w:rPr>
          </w:pPr>
          <w:hyperlink w:anchor="_Toc146705875">
            <w:r>
              <w:rPr>
                <w:webHidden/>
                <w:rStyle w:val="Style12"/>
                <w:b w:val="false"/>
                <w:vanish w:val="false"/>
                <w:sz w:val="24"/>
                <w:szCs w:val="24"/>
              </w:rPr>
              <w:t>Таблица 2. Перечень и объем оказываемых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_Toc146705875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2"/>
                <w:b w:val="false"/>
                <w:sz w:val="24"/>
                <w:szCs w:val="24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4"/>
              <w:szCs w:val="24"/>
            </w:rPr>
          </w:pPr>
          <w:hyperlink w:anchor="_Toc146705876">
            <w:r>
              <w:rPr>
                <w:webHidden/>
                <w:rStyle w:val="Style12"/>
                <w:b w:val="false"/>
                <w:vanish w:val="false"/>
                <w:sz w:val="24"/>
                <w:szCs w:val="24"/>
              </w:rPr>
              <w:t>Таблица 3. Требования к срокам оказания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_Toc146705876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2"/>
                <w:b w:val="false"/>
                <w:sz w:val="24"/>
                <w:szCs w:val="24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4"/>
              <w:szCs w:val="24"/>
            </w:rPr>
          </w:pPr>
          <w:hyperlink w:anchor="_Toc146705877">
            <w:r>
              <w:rPr>
                <w:webHidden/>
                <w:rStyle w:val="Style12"/>
                <w:b w:val="false"/>
                <w:vanish w:val="false"/>
                <w:sz w:val="24"/>
                <w:szCs w:val="24"/>
              </w:rPr>
              <w:t>Таблица 4. Требования к качеству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_Toc146705877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2"/>
                <w:b w:val="false"/>
                <w:sz w:val="24"/>
                <w:szCs w:val="24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4"/>
              <w:szCs w:val="24"/>
            </w:rPr>
          </w:pPr>
          <w:hyperlink w:anchor="_Toc146705878">
            <w:r>
              <w:rPr>
                <w:webHidden/>
                <w:rStyle w:val="Style12"/>
                <w:b w:val="false"/>
                <w:vanish w:val="false"/>
                <w:sz w:val="24"/>
                <w:szCs w:val="24"/>
              </w:rPr>
              <w:t>3. Требования к документации по ценообразованию на этапе закупки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_Toc146705878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2"/>
                <w:b w:val="false"/>
                <w:sz w:val="24"/>
                <w:szCs w:val="24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4"/>
              <w:szCs w:val="24"/>
            </w:rPr>
          </w:pPr>
          <w:hyperlink w:anchor="_Toc146705879">
            <w:r>
              <w:rPr>
                <w:webHidden/>
                <w:rStyle w:val="Style12"/>
                <w:b w:val="false"/>
                <w:vanish w:val="false"/>
                <w:sz w:val="24"/>
                <w:szCs w:val="24"/>
              </w:rPr>
              <w:t>4. Требования к документации по ценообразованию на этапе заключения (исполнения) договора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_Toc146705879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2"/>
                <w:b w:val="false"/>
                <w:sz w:val="24"/>
                <w:szCs w:val="24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4"/>
              <w:szCs w:val="24"/>
            </w:rPr>
          </w:pPr>
          <w:hyperlink w:anchor="_Toc146705880">
            <w:r>
              <w:rPr>
                <w:webHidden/>
                <w:rStyle w:val="Style12"/>
                <w:b w:val="false"/>
                <w:iCs/>
                <w:caps/>
                <w:vanish w:val="false"/>
                <w:sz w:val="24"/>
                <w:szCs w:val="24"/>
              </w:rPr>
              <w:t xml:space="preserve">5. </w:t>
            </w:r>
            <w:r>
              <w:rPr>
                <w:rStyle w:val="Style12"/>
                <w:b w:val="false"/>
                <w:iCs/>
                <w:sz w:val="24"/>
                <w:szCs w:val="24"/>
              </w:rPr>
              <w:t>Приложения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_Toc146705880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2"/>
                <w:b w:val="false"/>
                <w:sz w:val="24"/>
                <w:szCs w:val="24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  <w:r>
            <w:rPr>
              <w:rStyle w:val="Style12"/>
              <w:sz w:val="24"/>
              <w:b w:val="false"/>
              <w:szCs w:val="24"/>
            </w:rPr>
            <w:fldChar w:fldCharType="end"/>
          </w:r>
        </w:p>
      </w:sdtContent>
    </w:sdt>
    <w:p>
      <w:pPr>
        <w:pStyle w:val="Normal"/>
        <w:rPr/>
      </w:pPr>
      <w:r>
        <w:rPr/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br w:type="page"/>
      </w:r>
    </w:p>
    <w:p>
      <w:pPr>
        <w:pStyle w:val="Heading1"/>
        <w:keepLines/>
        <w:numPr>
          <w:ilvl w:val="0"/>
          <w:numId w:val="0"/>
        </w:numPr>
        <w:spacing w:before="0" w:after="0"/>
        <w:ind w:left="0" w:hanging="0"/>
        <w:jc w:val="center"/>
        <w:rPr>
          <w:caps/>
          <w:sz w:val="24"/>
          <w:szCs w:val="24"/>
          <w:lang w:val="ru-RU"/>
        </w:rPr>
      </w:pPr>
      <w:bookmarkStart w:id="1" w:name="_Toc146704857"/>
      <w:bookmarkStart w:id="2" w:name="_Toc146705873"/>
      <w:r>
        <w:rPr>
          <w:sz w:val="24"/>
          <w:szCs w:val="24"/>
          <w:lang w:val="ru-RU"/>
        </w:rPr>
        <w:t>1. Общие сведения</w:t>
      </w:r>
      <w:bookmarkEnd w:id="1"/>
      <w:bookmarkEnd w:id="2"/>
    </w:p>
    <w:p>
      <w:pPr>
        <w:pStyle w:val="Normal"/>
        <w:rPr>
          <w:sz w:val="24"/>
          <w:szCs w:val="24"/>
        </w:rPr>
      </w:pPr>
      <w:bookmarkStart w:id="3" w:name="_Toc46743505"/>
      <w:r>
        <w:rPr>
          <w:sz w:val="24"/>
          <w:szCs w:val="24"/>
        </w:rPr>
        <w:t>Обозначения и сокращения</w:t>
      </w:r>
      <w:bookmarkEnd w:id="3"/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91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271"/>
        <w:gridCol w:w="8646"/>
      </w:tblGrid>
      <w:tr>
        <w:trPr>
          <w:cantSplit w:val="true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GRI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Global Reporting Initiative</w:t>
            </w:r>
          </w:p>
        </w:tc>
      </w:tr>
      <w:tr>
        <w:trPr>
          <w:cantSplit w:val="true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ГОСА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годовое Общее собрание акционеров</w:t>
            </w:r>
          </w:p>
        </w:tc>
      </w:tr>
      <w:tr>
        <w:trPr>
          <w:cantSplit w:val="true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КБС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Клеевое бесшовное скрепление</w:t>
            </w:r>
          </w:p>
        </w:tc>
      </w:tr>
      <w:tr>
        <w:trPr>
          <w:cantSplit w:val="true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КСО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Корпоративная социальная ответственность и устойчивое развитие</w:t>
            </w:r>
          </w:p>
        </w:tc>
      </w:tr>
      <w:tr>
        <w:trPr>
          <w:cantSplit w:val="true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КШС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Клеевое швейное скрепление</w:t>
            </w:r>
          </w:p>
        </w:tc>
      </w:tr>
      <w:tr>
        <w:trPr>
          <w:cantSplit w:val="true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МСФО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Международные стандарты финансовой отчетности</w:t>
            </w:r>
          </w:p>
        </w:tc>
      </w:tr>
      <w:tr>
        <w:trPr>
          <w:cantSplit w:val="true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РСПП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Российский союз промышленников и предпринимателей</w:t>
            </w:r>
          </w:p>
        </w:tc>
      </w:tr>
      <w:tr>
        <w:trPr>
          <w:cantSplit w:val="true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РСБУ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Российские стандарты бухгалтерской отчетности</w:t>
            </w:r>
          </w:p>
        </w:tc>
      </w:tr>
      <w:tr>
        <w:trPr>
          <w:cantSplit w:val="true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СБЦ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Справочник базовых цен</w:t>
            </w:r>
          </w:p>
        </w:tc>
      </w:tr>
      <w:tr>
        <w:trPr>
          <w:cantSplit w:val="true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СЦ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Справочник цен</w:t>
            </w:r>
          </w:p>
        </w:tc>
      </w:tr>
      <w:tr>
        <w:trPr>
          <w:cantSplit w:val="true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ТТ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Т</w:t>
            </w:r>
            <w:r>
              <w:rPr>
                <w:sz w:val="24"/>
                <w:szCs w:val="24"/>
              </w:rPr>
              <w:t>ехнические требования</w:t>
            </w:r>
          </w:p>
        </w:tc>
      </w:tr>
      <w:tr>
        <w:trPr>
          <w:cantSplit w:val="true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ТЗ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Техническое задание на оказание услуг ОКПД2 70.22.11.000 Консультационные услуги по вопросам стратегического управления: подготовка годового отчета ПАО «РусГидро» (включая информацию об устойчивом развитии) по лоту № 1-КУ-Управление-2026-ИА 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bookmarkStart w:id="4" w:name="_Toc46743506"/>
      <w:bookmarkStart w:id="5" w:name="_Toc46743506"/>
      <w:r>
        <w:br w:type="page"/>
      </w:r>
    </w:p>
    <w:p>
      <w:pPr>
        <w:pStyle w:val="Heading4"/>
        <w:numPr>
          <w:ilvl w:val="0"/>
          <w:numId w:val="0"/>
        </w:numPr>
        <w:spacing w:before="0" w:after="0"/>
        <w:ind w:left="0" w:hanging="0"/>
        <w:rPr/>
      </w:pPr>
      <w:bookmarkStart w:id="6" w:name="_Toc146704858"/>
      <w:r>
        <w:rPr>
          <w:lang w:val="ru-RU"/>
        </w:rPr>
        <w:t xml:space="preserve">1.1. </w:t>
      </w:r>
      <w:r>
        <w:rPr/>
        <w:t>Наименование закупаемой продукции</w:t>
      </w:r>
      <w:bookmarkEnd w:id="5"/>
      <w:bookmarkEnd w:id="6"/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rFonts w:eastAsia="Calibri"/>
          <w:sz w:val="24"/>
          <w:szCs w:val="24"/>
          <w:lang w:eastAsia="x-none"/>
        </w:rPr>
      </w:pPr>
      <w:r>
        <w:rPr>
          <w:sz w:val="24"/>
          <w:szCs w:val="24"/>
        </w:rPr>
        <w:t>Консультационные услуги по вопросам стратегического управления: подготовка годового отчета ПАО «РусГидро» (включая информацию об устойчивом развитии)</w:t>
      </w:r>
      <w:r>
        <w:rPr>
          <w:rFonts w:eastAsia="Calibri"/>
          <w:sz w:val="24"/>
          <w:szCs w:val="24"/>
          <w:lang w:eastAsia="x-none"/>
        </w:rPr>
        <w:t>.</w:t>
      </w:r>
    </w:p>
    <w:p>
      <w:pPr>
        <w:pStyle w:val="Heading1"/>
        <w:keepLines/>
        <w:numPr>
          <w:ilvl w:val="0"/>
          <w:numId w:val="0"/>
        </w:numPr>
        <w:spacing w:before="0" w:after="0"/>
        <w:ind w:left="0" w:hanging="0"/>
        <w:rPr>
          <w:iCs/>
          <w:caps/>
          <w:sz w:val="24"/>
          <w:szCs w:val="24"/>
          <w:lang w:val="ru-RU"/>
        </w:rPr>
      </w:pPr>
      <w:bookmarkStart w:id="7" w:name="_Toc51339693"/>
      <w:bookmarkStart w:id="8" w:name="_Toc146704860"/>
      <w:bookmarkStart w:id="9" w:name="_Toc146705874"/>
      <w:bookmarkStart w:id="10" w:name="_Toc46743507"/>
      <w:bookmarkEnd w:id="10"/>
      <w:r>
        <w:rPr>
          <w:iCs/>
          <w:sz w:val="24"/>
          <w:szCs w:val="24"/>
          <w:lang w:val="ru-RU"/>
        </w:rPr>
        <w:t>2. Требования</w:t>
      </w:r>
      <w:r>
        <w:rPr>
          <w:iCs/>
          <w:sz w:val="24"/>
          <w:szCs w:val="24"/>
        </w:rPr>
        <w:t xml:space="preserve"> к продукции</w:t>
      </w:r>
      <w:bookmarkEnd w:id="7"/>
      <w:bookmarkEnd w:id="8"/>
      <w:bookmarkEnd w:id="9"/>
    </w:p>
    <w:p>
      <w:pPr>
        <w:pStyle w:val="Heading4"/>
        <w:numPr>
          <w:ilvl w:val="0"/>
          <w:numId w:val="0"/>
        </w:numPr>
        <w:tabs>
          <w:tab w:val="clear" w:pos="708"/>
          <w:tab w:val="left" w:pos="426" w:leader="none"/>
        </w:tabs>
        <w:spacing w:before="0" w:after="0"/>
        <w:ind w:left="0" w:hanging="0"/>
        <w:rPr/>
      </w:pPr>
      <w:bookmarkStart w:id="11" w:name="_Toc146704861"/>
      <w:r>
        <w:rPr>
          <w:lang w:val="ru-RU"/>
        </w:rPr>
        <w:t xml:space="preserve">2.1. </w:t>
      </w:r>
      <w:r>
        <w:rPr/>
        <w:t xml:space="preserve">Требования к объемам и срокам </w:t>
      </w:r>
      <w:r>
        <w:rPr>
          <w:lang w:val="ru-RU"/>
        </w:rPr>
        <w:t>оказания услуг</w:t>
      </w:r>
      <w:bookmarkEnd w:id="11"/>
    </w:p>
    <w:p>
      <w:pPr>
        <w:pStyle w:val="Heading3"/>
        <w:numPr>
          <w:ilvl w:val="0"/>
          <w:numId w:val="0"/>
        </w:numPr>
        <w:tabs>
          <w:tab w:val="clear" w:pos="708"/>
          <w:tab w:val="left" w:pos="426" w:leader="none"/>
        </w:tabs>
        <w:spacing w:before="0" w:after="0"/>
        <w:ind w:left="0" w:hanging="0"/>
        <w:rPr/>
      </w:pPr>
      <w:bookmarkStart w:id="12" w:name="_Toc146704862"/>
      <w:r>
        <w:rPr>
          <w:lang w:val="ru-RU"/>
        </w:rPr>
        <w:t>2.1.1. Требования к перечню и объему услуг</w:t>
      </w:r>
      <w:bookmarkEnd w:id="12"/>
    </w:p>
    <w:p>
      <w:pPr>
        <w:pStyle w:val="Heading1"/>
        <w:keepLines/>
        <w:numPr>
          <w:ilvl w:val="0"/>
          <w:numId w:val="0"/>
        </w:numPr>
        <w:tabs>
          <w:tab w:val="clear" w:pos="708"/>
          <w:tab w:val="left" w:pos="426" w:leader="none"/>
        </w:tabs>
        <w:spacing w:before="0" w:after="0"/>
        <w:ind w:left="0" w:hanging="0"/>
        <w:rPr>
          <w:sz w:val="24"/>
          <w:szCs w:val="24"/>
          <w:lang w:val="ru-RU"/>
        </w:rPr>
      </w:pPr>
      <w:bookmarkStart w:id="13" w:name="_Toc146704863"/>
      <w:bookmarkStart w:id="14" w:name="_Toc146705875"/>
      <w:bookmarkStart w:id="15" w:name="_Toc51339695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2.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</w:t>
      </w:r>
      <w:bookmarkEnd w:id="15"/>
      <w:r>
        <w:rPr>
          <w:sz w:val="24"/>
          <w:szCs w:val="24"/>
          <w:lang w:val="ru-RU"/>
        </w:rPr>
        <w:t>и объем оказываемых услуг</w:t>
      </w:r>
      <w:bookmarkEnd w:id="13"/>
      <w:bookmarkEnd w:id="14"/>
    </w:p>
    <w:tbl>
      <w:tblPr>
        <w:tblW w:w="10206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567"/>
        <w:gridCol w:w="5246"/>
        <w:gridCol w:w="1985"/>
        <w:gridCol w:w="2407"/>
      </w:tblGrid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услуг / этапа услуг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0" w:hanging="0"/>
              <w:jc w:val="center"/>
              <w:rPr/>
            </w:pPr>
            <w:r>
              <w:rPr/>
              <w:t>1.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Консультационные услуги по вопросам стратегического управления: подготовка годового отчета ПАО «РусГидро» (включая информацию об устойчивом развитии)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Усл. ед.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426" w:leader="none"/>
        </w:tabs>
        <w:ind w:firstLine="142"/>
        <w:rPr>
          <w:bCs/>
          <w:i/>
          <w:i/>
          <w:sz w:val="24"/>
          <w:szCs w:val="24"/>
          <w:shd w:fill="FFFF99" w:val="clear"/>
        </w:rPr>
      </w:pPr>
      <w:r>
        <w:rPr>
          <w:bCs/>
          <w:i/>
          <w:sz w:val="24"/>
          <w:szCs w:val="24"/>
          <w:shd w:fill="FFFF99" w:val="clear"/>
        </w:rPr>
      </w:r>
    </w:p>
    <w:p>
      <w:pPr>
        <w:pStyle w:val="Heading3"/>
        <w:numPr>
          <w:ilvl w:val="0"/>
          <w:numId w:val="0"/>
        </w:numPr>
        <w:spacing w:before="0" w:after="0"/>
        <w:ind w:left="0" w:hanging="0"/>
        <w:rPr>
          <w:lang w:val="ru-RU"/>
        </w:rPr>
      </w:pPr>
      <w:bookmarkStart w:id="16" w:name="_Toc146704864"/>
      <w:bookmarkStart w:id="17" w:name="_Toc51339696"/>
      <w:r>
        <w:rPr>
          <w:lang w:val="ru-RU"/>
        </w:rPr>
        <w:t xml:space="preserve">2.1.2. Требования </w:t>
      </w:r>
      <w:bookmarkEnd w:id="17"/>
      <w:r>
        <w:rPr>
          <w:lang w:val="ru-RU"/>
        </w:rPr>
        <w:t>к срокам оказания услуг</w:t>
      </w:r>
      <w:bookmarkEnd w:id="16"/>
    </w:p>
    <w:p>
      <w:pPr>
        <w:pStyle w:val="Heading1"/>
        <w:keepLines/>
        <w:numPr>
          <w:ilvl w:val="0"/>
          <w:numId w:val="0"/>
        </w:numPr>
        <w:spacing w:before="0" w:after="0"/>
        <w:ind w:left="0" w:hanging="0"/>
        <w:rPr>
          <w:sz w:val="24"/>
          <w:szCs w:val="24"/>
          <w:lang w:val="ru-RU"/>
        </w:rPr>
      </w:pPr>
      <w:bookmarkStart w:id="18" w:name="_Toc146704865"/>
      <w:bookmarkStart w:id="19" w:name="_Toc146705876"/>
      <w:bookmarkStart w:id="20" w:name="_Toc50125127"/>
      <w:bookmarkStart w:id="21" w:name="_Toc51339697"/>
      <w:bookmarkStart w:id="22" w:name="_Toc50125126"/>
      <w:bookmarkEnd w:id="22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</w:t>
      </w:r>
      <w:bookmarkStart w:id="23" w:name="_Hlk50465284"/>
      <w:r>
        <w:rPr>
          <w:sz w:val="24"/>
          <w:szCs w:val="24"/>
        </w:rPr>
        <w:t xml:space="preserve">Требования </w:t>
      </w:r>
      <w:r>
        <w:rPr>
          <w:sz w:val="24"/>
          <w:szCs w:val="24"/>
          <w:lang w:val="ru-RU"/>
        </w:rPr>
        <w:t>к</w:t>
      </w:r>
      <w:r>
        <w:rPr>
          <w:sz w:val="24"/>
          <w:szCs w:val="24"/>
        </w:rPr>
        <w:t xml:space="preserve"> срокам </w:t>
      </w:r>
      <w:bookmarkEnd w:id="20"/>
      <w:bookmarkEnd w:id="21"/>
      <w:bookmarkEnd w:id="23"/>
      <w:r>
        <w:rPr>
          <w:sz w:val="24"/>
          <w:szCs w:val="24"/>
          <w:lang w:val="ru-RU"/>
        </w:rPr>
        <w:t>оказания услуг</w:t>
      </w:r>
      <w:bookmarkEnd w:id="18"/>
      <w:bookmarkEnd w:id="19"/>
    </w:p>
    <w:tbl>
      <w:tblPr>
        <w:tblW w:w="1020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3"/>
        <w:gridCol w:w="4251"/>
        <w:gridCol w:w="1845"/>
        <w:gridCol w:w="3541"/>
      </w:tblGrid>
      <w:tr>
        <w:trPr/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услуг/ этапа услуг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оказания услуг/ этапа услуг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оказания услуг / этапа услуг</w:t>
            </w:r>
          </w:p>
        </w:tc>
      </w:tr>
      <w:tr>
        <w:trPr/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134" w:right="567" w:gutter="0" w:header="680" w:top="737" w:footer="0" w:bottom="567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ListParagraph"/>
        <w:ind w:left="0" w:hanging="0"/>
        <w:jc w:val="center"/>
        <w:rPr/>
      </w:pPr>
      <w:r>
        <w:rPr/>
      </w:r>
    </w:p>
    <w:p>
      <w:pPr>
        <w:sectPr>
          <w:type w:val="continuous"/>
          <w:pgSz w:w="11906" w:h="16838"/>
          <w:pgMar w:left="1134" w:right="567" w:gutter="0" w:header="680" w:top="737" w:footer="0" w:bottom="567"/>
          <w:formProt w:val="false"/>
          <w:textDirection w:val="lrTb"/>
          <w:docGrid w:type="default" w:linePitch="360" w:charSpace="0"/>
        </w:sectPr>
      </w:pPr>
    </w:p>
    <w:p>
      <w:pPr>
        <w:pStyle w:val="ListParagraph"/>
        <w:rPr/>
      </w:pPr>
      <w:r>
        <w:rPr/>
      </w:r>
    </w:p>
    <w:p>
      <w:pPr>
        <w:sectPr>
          <w:type w:val="continuous"/>
          <w:pgSz w:w="11906" w:h="16838"/>
          <w:pgMar w:left="1134" w:right="567" w:gutter="0" w:header="680" w:top="737" w:footer="0" w:bottom="567"/>
          <w:formProt w:val="false"/>
          <w:textDirection w:val="lrTb"/>
          <w:docGrid w:type="default" w:linePitch="360" w:charSpace="0"/>
        </w:sectPr>
      </w:pP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34" w:right="567" w:gutter="0" w:header="680" w:top="737" w:footer="0" w:bottom="567"/>
          <w:formProt w:val="false"/>
          <w:textDirection w:val="lrTb"/>
          <w:docGrid w:type="default" w:linePitch="360" w:charSpace="0"/>
        </w:sectPr>
      </w:pPr>
    </w:p>
    <w:tbl>
      <w:tblPr>
        <w:tblW w:w="1020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3"/>
        <w:gridCol w:w="4251"/>
        <w:gridCol w:w="1845"/>
        <w:gridCol w:w="3541"/>
      </w:tblGrid>
      <w:tr>
        <w:trPr/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ind w:left="0" w:hanging="0"/>
              <w:jc w:val="center"/>
              <w:rPr/>
            </w:pPr>
            <w:r>
              <w:rPr/>
              <w:t>1.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Годового отчета на русском языке в текстовом формате и едином электронном формате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позднее 5 (пяти) дней с даты проведения общественных слушаний и стейкхолдерского заверения Годового отчета</w:t>
            </w:r>
            <w:r>
              <w:rPr>
                <w:rStyle w:val="FootnoteReference"/>
                <w:sz w:val="24"/>
                <w:szCs w:val="24"/>
              </w:rPr>
              <w:footnoteReference w:id="2"/>
            </w:r>
          </w:p>
        </w:tc>
      </w:tr>
      <w:tr>
        <w:trPr/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ind w:left="0" w:hanging="0"/>
              <w:jc w:val="center"/>
              <w:rPr/>
            </w:pPr>
            <w:r>
              <w:rPr/>
              <w:t>2.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Годового отчета в электронном исполнении (в формате «pdf» (PDF версии) и в интерактивном формате) на русском языке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позднее  даты ГОСА с учетом сроков в соответствии с ТЗ</w:t>
            </w:r>
          </w:p>
        </w:tc>
      </w:tr>
      <w:tr>
        <w:trPr/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Внешнее заверение Годового отчета, направление Годового отчета на конкурсы, обеспечение участия в рейтингах, взаимодействие с организаторами конкурсов/рейтинговых агентств и мониторинг результатов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позднее 30.11.2027</w:t>
            </w:r>
          </w:p>
        </w:tc>
      </w:tr>
    </w:tbl>
    <w:p>
      <w:pPr>
        <w:sectPr>
          <w:footnotePr>
            <w:numFmt w:val="decimal"/>
            <w:numRestart w:val="eachPage"/>
          </w:footnotePr>
          <w:type w:val="continuous"/>
          <w:pgSz w:w="11906" w:h="16838"/>
          <w:pgMar w:left="1134" w:right="567" w:gutter="0" w:header="680" w:top="737" w:footer="0" w:bottom="567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Heading4"/>
        <w:numPr>
          <w:ilvl w:val="0"/>
          <w:numId w:val="0"/>
        </w:numPr>
        <w:ind w:left="0" w:hanging="0"/>
        <w:rPr/>
      </w:pPr>
      <w:bookmarkStart w:id="24" w:name="_Toc51339698"/>
      <w:bookmarkStart w:id="25" w:name="_Toc146704866"/>
      <w:bookmarkStart w:id="26" w:name="_Toc46743511"/>
      <w:bookmarkStart w:id="27" w:name="_Toc46743510"/>
      <w:bookmarkEnd w:id="27"/>
      <w:r>
        <w:rPr>
          <w:lang w:val="ru-RU"/>
        </w:rPr>
        <w:t xml:space="preserve">2.1.3. </w:t>
      </w:r>
      <w:r>
        <w:rPr/>
        <w:t xml:space="preserve">Требования к </w:t>
      </w:r>
      <w:bookmarkEnd w:id="26"/>
      <w:r>
        <w:rPr>
          <w:lang w:val="ru-RU"/>
        </w:rPr>
        <w:t>качеству услуг</w:t>
      </w:r>
      <w:bookmarkEnd w:id="25"/>
    </w:p>
    <w:p>
      <w:pPr>
        <w:pStyle w:val="Heading1"/>
        <w:keepLines/>
        <w:numPr>
          <w:ilvl w:val="0"/>
          <w:numId w:val="0"/>
        </w:numPr>
        <w:spacing w:before="0" w:after="0"/>
        <w:ind w:left="0" w:hanging="0"/>
        <w:rPr>
          <w:sz w:val="24"/>
          <w:szCs w:val="24"/>
        </w:rPr>
      </w:pPr>
      <w:bookmarkStart w:id="28" w:name="_Toc146704867"/>
      <w:bookmarkStart w:id="29" w:name="_Toc146705877"/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4</w:t>
      </w:r>
      <w:r>
        <w:rPr>
          <w:sz w:val="24"/>
          <w:szCs w:val="24"/>
        </w:rPr>
        <w:t xml:space="preserve">. Требования к </w:t>
      </w:r>
      <w:bookmarkEnd w:id="24"/>
      <w:r>
        <w:rPr>
          <w:sz w:val="24"/>
          <w:szCs w:val="24"/>
          <w:lang w:val="ru-RU"/>
        </w:rPr>
        <w:t>качеству услуг</w:t>
      </w:r>
      <w:bookmarkEnd w:id="28"/>
      <w:bookmarkEnd w:id="29"/>
      <w:r>
        <w:rPr>
          <w:sz w:val="24"/>
          <w:szCs w:val="24"/>
        </w:rPr>
        <w:t xml:space="preserve"> </w:t>
      </w:r>
    </w:p>
    <w:p>
      <w:pPr>
        <w:pStyle w:val="Normal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ind w:firstLine="56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Наименование услуг/этапа услуг (позиция №1 Таблицы 2): </w:t>
      </w:r>
      <w:r>
        <w:rPr>
          <w:sz w:val="24"/>
          <w:szCs w:val="24"/>
        </w:rPr>
        <w:t>Подготовка годового отчета (включая информацию об устойчивом развитии)</w:t>
      </w:r>
    </w:p>
    <w:p>
      <w:pPr>
        <w:pStyle w:val="Normal"/>
        <w:ind w:firstLine="567"/>
        <w:jc w:val="both"/>
        <w:rPr>
          <w:i/>
          <w:i/>
          <w:iCs/>
          <w:sz w:val="24"/>
          <w:szCs w:val="24"/>
          <w:shd w:fill="FFFF99" w:val="clear"/>
        </w:rPr>
      </w:pPr>
      <w:r>
        <w:rPr>
          <w:i/>
          <w:iCs/>
          <w:sz w:val="24"/>
          <w:szCs w:val="24"/>
          <w:shd w:fill="FFFF99" w:val="clear"/>
        </w:rPr>
      </w:r>
    </w:p>
    <w:tbl>
      <w:tblPr>
        <w:tblStyle w:val="afb"/>
        <w:tblW w:w="1289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44"/>
        <w:gridCol w:w="2128"/>
        <w:gridCol w:w="5528"/>
        <w:gridCol w:w="2125"/>
        <w:gridCol w:w="2270"/>
      </w:tblGrid>
      <w:tr>
        <w:trPr/>
        <w:tc>
          <w:tcPr>
            <w:tcW w:w="844" w:type="dxa"/>
            <w:vMerge w:val="restart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 xml:space="preserve">№ </w:t>
            </w: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п/п</w:t>
            </w:r>
          </w:p>
        </w:tc>
        <w:tc>
          <w:tcPr>
            <w:tcW w:w="2128" w:type="dxa"/>
            <w:vMerge w:val="restart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Наименование параметра</w:t>
            </w:r>
          </w:p>
        </w:tc>
        <w:tc>
          <w:tcPr>
            <w:tcW w:w="5528" w:type="dxa"/>
            <w:vMerge w:val="restart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Требование заказчика</w:t>
            </w:r>
          </w:p>
        </w:tc>
        <w:tc>
          <w:tcPr>
            <w:tcW w:w="4395" w:type="dxa"/>
            <w:gridSpan w:val="2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844" w:type="dxa"/>
            <w:vMerge w:val="continue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128" w:type="dxa"/>
            <w:vMerge w:val="continue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5528" w:type="dxa"/>
            <w:vMerge w:val="continue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1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Согласие с требованием/ указание характеристик</w:t>
            </w:r>
          </w:p>
        </w:tc>
        <w:tc>
          <w:tcPr>
            <w:tcW w:w="22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84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bookmarkStart w:id="30" w:name="_Toc53499667"/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1</w:t>
            </w:r>
            <w:bookmarkEnd w:id="30"/>
          </w:p>
        </w:tc>
        <w:tc>
          <w:tcPr>
            <w:tcW w:w="212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5528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3</w:t>
            </w:r>
          </w:p>
        </w:tc>
        <w:tc>
          <w:tcPr>
            <w:tcW w:w="21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22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5</w:t>
            </w:r>
          </w:p>
        </w:tc>
      </w:tr>
      <w:tr>
        <w:trPr/>
        <w:tc>
          <w:tcPr>
            <w:tcW w:w="844" w:type="dxa"/>
            <w:tcBorders/>
            <w:vAlign w:val="center"/>
          </w:tcPr>
          <w:p>
            <w:pPr>
              <w:pStyle w:val="ListParagraph"/>
              <w:widowControl/>
              <w:suppressAutoHyphens w:val="true"/>
              <w:spacing w:before="0" w:after="0"/>
              <w:ind w:left="0" w:hanging="0"/>
              <w:contextualSpacing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1.</w:t>
            </w:r>
          </w:p>
        </w:tc>
        <w:tc>
          <w:tcPr>
            <w:tcW w:w="7656" w:type="dxa"/>
            <w:gridSpan w:val="2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Требования к оказанию услуг</w:t>
            </w:r>
          </w:p>
        </w:tc>
        <w:tc>
          <w:tcPr>
            <w:tcW w:w="2125" w:type="dxa"/>
            <w:vMerge w:val="restart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kern w:val="0"/>
                <w:sz w:val="24"/>
                <w:szCs w:val="24"/>
                <w:lang w:val="ru-RU" w:bidi="ar-SA"/>
              </w:rPr>
              <w:t>Участник должен предоставить в заявке согласие оказать услуги,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2270" w:type="dxa"/>
            <w:vMerge w:val="restart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kern w:val="0"/>
                <w:sz w:val="24"/>
                <w:szCs w:val="24"/>
                <w:lang w:val="en-US" w:bidi="ar-SA"/>
              </w:rPr>
              <w:t>-</w:t>
            </w:r>
          </w:p>
        </w:tc>
      </w:tr>
      <w:tr>
        <w:trPr/>
        <w:tc>
          <w:tcPr>
            <w:tcW w:w="84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1.1.</w:t>
            </w:r>
          </w:p>
        </w:tc>
        <w:tc>
          <w:tcPr>
            <w:tcW w:w="7656" w:type="dxa"/>
            <w:gridSpan w:val="2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Общие требования к оказанию услуг</w:t>
            </w:r>
          </w:p>
        </w:tc>
        <w:tc>
          <w:tcPr>
            <w:tcW w:w="2125" w:type="dxa"/>
            <w:vMerge w:val="continue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270" w:type="dxa"/>
            <w:vMerge w:val="continue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84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1.1.1.</w:t>
            </w:r>
          </w:p>
        </w:tc>
        <w:tc>
          <w:tcPr>
            <w:tcW w:w="2128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Подготовка Годового отчета (включая информацию об устойчивом развитии)</w:t>
            </w:r>
          </w:p>
        </w:tc>
        <w:tc>
          <w:tcPr>
            <w:tcW w:w="5528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Установлены Техническим заданием (приложение №1 к ТТ)</w:t>
            </w:r>
          </w:p>
        </w:tc>
        <w:tc>
          <w:tcPr>
            <w:tcW w:w="2125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270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84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 xml:space="preserve">1.2. </w:t>
            </w:r>
          </w:p>
        </w:tc>
        <w:tc>
          <w:tcPr>
            <w:tcW w:w="7656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Требования к персоналу исполнителя</w:t>
            </w:r>
          </w:p>
        </w:tc>
        <w:tc>
          <w:tcPr>
            <w:tcW w:w="2125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270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84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1.2.1.</w:t>
            </w:r>
          </w:p>
        </w:tc>
        <w:tc>
          <w:tcPr>
            <w:tcW w:w="2128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Квалификация и численность персонала Исполнителя, задействованного в подготовке Годового отчета</w:t>
            </w:r>
          </w:p>
        </w:tc>
        <w:tc>
          <w:tcPr>
            <w:tcW w:w="5528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bidi="ar-SA"/>
              </w:rPr>
              <w:t>1.  В подготовке Годового отчета должны быть непосредственно задействованы как минимум 3 (три) сотрудника Исполнителя: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bidi="ar-SA"/>
              </w:rPr>
              <w:t xml:space="preserve">а) первый сотрудник организует процесс подготовки Годового отчета и осуществляет взаимодействие с Заказчиком и иными участниками процесса (биржами, регулирующими органами, рейтинговыми агентствами), а также контролирует сбор, анализ и устранение замечаний Заказчика и аудитора к Годовому отчету, обеспечивает своевременную подготовку и предоставление Заказчику бухгалтерских документов (акты, счета), организует дизайн, верстку и печать Годового отчета, обеспечивает и гарантирует общий ход работ и контроль за соблюдением сроков, выполняет иные административные функции по организации оказания услуг по составлению Годового отчета (менеджер проекта); 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bidi="ar-SA"/>
              </w:rPr>
              <w:t>б) второй сотрудник осуществляет непосредственное написание проекта Годового отчета и обеспечивает его доработку;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bidi="ar-SA"/>
              </w:rPr>
              <w:t>в) третий сотрудник (ответственный менеджер Исполнителя) является ответственным лицом за взаимодействие с Заказчиком в рамках этапа 2 ТЗ (Приложение 1 к ТТ). В обязанности указанного менеджера, должно входить: информирование об исполнении оказываемых Услуг, формирование первичной документации, передача отчетных документов (представление необходимых материалов, относящиеся к услугам), создание условий для проверки хода оказания Услуг, организация совместных рабочих встреч, официальной переписки по любым вопросам или действиям в целях оказания Услуг, предусмотренных ТЗ.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bidi="ar-SA"/>
              </w:rPr>
              <w:t>Работа указанных сотрудников по Годовому отчету Заказчика должна быть приоритетной по сравнению с другими заказчиками Исполнителя.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bidi="ar-SA"/>
              </w:rPr>
              <w:t xml:space="preserve">2. Для подготовки Годового отчета в электронном исполнении на этапе 2 ТЗ Исполнитель обязан сформировать постоянно действующую команду, в составе которой должны быть:  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bidi="ar-SA"/>
              </w:rPr>
              <w:t>а) корректор (не менее 2 (двух) человек), имеющий профессиональное образование (лингвистическое или филологическое) и опыт работы по специальности корректора не менее 5 (пяти) лет;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bidi="ar-SA"/>
              </w:rPr>
              <w:t>б) литературный редактор (не менее 1 (одного) человека), имеющий профессиональное образование (лингвистическое или филологическое) и опыт работы по специальности не менее 2 (двух) лет;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bidi="ar-SA"/>
              </w:rPr>
              <w:t>в) верстальщик (не менее 2 (двух) человек), имеющие профессиональное образование в области дизайна рисования или графики и верстки и опыт работы по специальности не менее 2 (двух) лет;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bidi="ar-SA"/>
              </w:rPr>
              <w:t xml:space="preserve">г) дизайнер (не менее 3 (трех) человек), имеющие профессиональное образование в области дизайна, рисования, один из которых имеет профессиональное образование в области графики и компьютерной графики/digital, опыт работы по специальности дизайнеров не менее 5 (пяти) лет; 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bidi="ar-SA"/>
              </w:rPr>
              <w:t xml:space="preserve">2. Состав сотрудников должен быть согласован Заказчиком. Персональный состав команды представляется Заказчику на согласование в срок не позднее 5 (пяти) рабочих дней с даты заключения Договора. Заказчик согласует состав команды в течение 5 (пяти) рабочих дней, либо представляет аргументированные возражения. 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bidi="ar-SA"/>
              </w:rPr>
              <w:t xml:space="preserve">При наличии мотивированного требования Заказчика Исполнитель осуществляет замену любого из членов команды или всю команду в течение 10 (десяти) рабочих дней с даты получения письменного требования Заказчика. 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bidi="ar-SA"/>
              </w:rPr>
              <w:t>3. Исполнитель не позднее 3 (трех) рабочих дней с даты согласования сотрудников, указанных в пункте 1, обязан предоставить Заказчику контакты и должности указанных сотрудников, задействованных в оказании услуг согласно пунктам 1, 2.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bidi="ar-SA"/>
              </w:rPr>
              <w:t>4. Для целей удобства взаимодействия с Заказчиком и с подразделениями Заказчика Исполнителю может быть предоставлен гостевой доступ к сетевым ресурсам и системам внутреннего документооборота Заказчика.</w:t>
            </w:r>
          </w:p>
        </w:tc>
        <w:tc>
          <w:tcPr>
            <w:tcW w:w="2125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270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bidi="ar-SA"/>
              </w:rPr>
            </w:r>
          </w:p>
        </w:tc>
      </w:tr>
    </w:tbl>
    <w:p>
      <w:pPr>
        <w:sectPr>
          <w:headerReference w:type="default" r:id="rId5"/>
          <w:headerReference w:type="first" r:id="rId6"/>
          <w:footnotePr>
            <w:numFmt w:val="decimal"/>
            <w:numRestart w:val="eachPage"/>
          </w:footnotePr>
          <w:type w:val="nextPage"/>
          <w:pgSz w:orient="landscape" w:w="16838" w:h="11906"/>
          <w:pgMar w:left="992" w:right="567" w:gutter="0" w:header="680" w:top="851" w:footer="0" w:bottom="851"/>
          <w:pgNumType w:fmt="decimal"/>
          <w:formProt w:val="false"/>
          <w:titlePg/>
          <w:textDirection w:val="lrTb"/>
          <w:docGrid w:type="default" w:linePitch="381" w:charSpace="0"/>
        </w:sectPr>
      </w:pPr>
    </w:p>
    <w:p>
      <w:pPr>
        <w:pStyle w:val="Heading1"/>
        <w:keepLines/>
        <w:numPr>
          <w:ilvl w:val="0"/>
          <w:numId w:val="0"/>
        </w:numPr>
        <w:spacing w:before="0" w:after="0"/>
        <w:ind w:left="0" w:hanging="0"/>
        <w:rPr>
          <w:sz w:val="24"/>
          <w:szCs w:val="24"/>
          <w:lang w:val="ru-RU"/>
        </w:rPr>
      </w:pPr>
      <w:bookmarkStart w:id="31" w:name="_Toc146704868"/>
      <w:bookmarkStart w:id="32" w:name="_Toc146705878"/>
      <w:bookmarkStart w:id="33" w:name="_Toc53393312"/>
      <w:bookmarkStart w:id="34" w:name="_Toc53395937"/>
      <w:r>
        <w:rPr>
          <w:sz w:val="24"/>
          <w:szCs w:val="24"/>
          <w:lang w:val="ru-RU"/>
        </w:rPr>
        <w:t>3. Требования к документации по ценообразованию</w:t>
      </w:r>
      <w:bookmarkEnd w:id="33"/>
      <w:bookmarkEnd w:id="34"/>
      <w:r>
        <w:rPr>
          <w:sz w:val="24"/>
          <w:szCs w:val="24"/>
          <w:lang w:val="ru-RU"/>
        </w:rPr>
        <w:t xml:space="preserve"> на этапе закупки</w:t>
      </w:r>
      <w:bookmarkEnd w:id="31"/>
      <w:bookmarkEnd w:id="32"/>
      <w:r>
        <w:rPr>
          <w:sz w:val="24"/>
          <w:szCs w:val="24"/>
          <w:lang w:val="ru-RU"/>
        </w:rPr>
        <w:t>.</w:t>
      </w:r>
    </w:p>
    <w:p>
      <w:pPr>
        <w:pStyle w:val="Normal"/>
        <w:ind w:firstLine="567"/>
        <w:jc w:val="both"/>
        <w:rPr>
          <w:lang w:eastAsia="x-none"/>
        </w:rPr>
      </w:pPr>
      <w:r>
        <w:rPr>
          <w:lang w:eastAsia="x-none"/>
        </w:rPr>
      </w:r>
    </w:p>
    <w:p>
      <w:pPr>
        <w:pStyle w:val="Normal"/>
        <w:ind w:firstLine="567"/>
        <w:jc w:val="both"/>
        <w:rPr>
          <w:sz w:val="24"/>
          <w:szCs w:val="24"/>
        </w:rPr>
      </w:pPr>
      <w:bookmarkStart w:id="35" w:name="_Toc54281228"/>
      <w:r>
        <w:rPr>
          <w:sz w:val="24"/>
          <w:szCs w:val="24"/>
        </w:rPr>
        <w:t>3.1. 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</w:p>
    <w:p>
      <w:pPr>
        <w:pStyle w:val="Normal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3.2. Дополнительные документы по ценообразованию в состав заявки не включаются.</w:t>
      </w:r>
    </w:p>
    <w:p>
      <w:pPr>
        <w:pStyle w:val="Normal"/>
        <w:rPr>
          <w:iCs/>
          <w:caps/>
        </w:rPr>
      </w:pPr>
      <w:r>
        <w:rPr>
          <w:iCs/>
          <w:caps/>
        </w:rPr>
      </w:r>
    </w:p>
    <w:p>
      <w:pPr>
        <w:pStyle w:val="Normal"/>
        <w:rPr>
          <w:iCs/>
          <w:caps/>
        </w:rPr>
      </w:pPr>
      <w:r>
        <w:rPr>
          <w:iCs/>
          <w:caps/>
        </w:rPr>
      </w:r>
    </w:p>
    <w:p>
      <w:pPr>
        <w:pStyle w:val="Heading1"/>
        <w:keepLines/>
        <w:numPr>
          <w:ilvl w:val="0"/>
          <w:numId w:val="0"/>
        </w:numPr>
        <w:spacing w:before="0" w:after="0"/>
        <w:ind w:left="0" w:hanging="0"/>
        <w:jc w:val="both"/>
        <w:rPr>
          <w:b w:val="false"/>
          <w:sz w:val="24"/>
          <w:szCs w:val="24"/>
          <w:lang w:val="ru-RU"/>
        </w:rPr>
      </w:pPr>
      <w:bookmarkStart w:id="36" w:name="_Toc146705879"/>
      <w:r>
        <w:rPr>
          <w:sz w:val="24"/>
          <w:szCs w:val="24"/>
          <w:lang w:val="ru-RU"/>
        </w:rPr>
        <w:t xml:space="preserve">4. </w:t>
      </w:r>
      <w:r>
        <w:rPr>
          <w:sz w:val="24"/>
          <w:szCs w:val="24"/>
        </w:rPr>
        <w:t>Требования к документации по ценообразованию на этапе заключения (исполнения) договора</w:t>
      </w:r>
      <w:bookmarkEnd w:id="35"/>
      <w:bookmarkEnd w:id="36"/>
      <w:r>
        <w:rPr>
          <w:sz w:val="24"/>
          <w:szCs w:val="24"/>
          <w:lang w:val="ru-RU"/>
        </w:rPr>
        <w:t>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 результатам настоящей закупки заключается договор с твердой ценой, определенной по результатам закупки.</w:t>
      </w:r>
    </w:p>
    <w:p>
      <w:pPr>
        <w:pStyle w:val="Normal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Порядок формирования на этапе исполнения договора стоимости выполняемых работ по заданию Заказчика установлен в Проекте договора.</w:t>
      </w:r>
    </w:p>
    <w:p>
      <w:pPr>
        <w:pStyle w:val="Normal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  <w:bookmarkStart w:id="37" w:name="_Toc46743519"/>
      <w:bookmarkStart w:id="38" w:name="_Toc51339699"/>
      <w:bookmarkStart w:id="39" w:name="_Toc46743519"/>
      <w:bookmarkStart w:id="40" w:name="_Toc51339699"/>
      <w:bookmarkEnd w:id="39"/>
      <w:bookmarkEnd w:id="40"/>
    </w:p>
    <w:p>
      <w:pPr>
        <w:pStyle w:val="Normal"/>
        <w:rPr>
          <w:i/>
          <w:i/>
          <w:iCs/>
          <w:sz w:val="24"/>
          <w:szCs w:val="24"/>
          <w:shd w:fill="FFFF99" w:val="clear"/>
        </w:rPr>
      </w:pPr>
      <w:r>
        <w:rPr>
          <w:i/>
          <w:iCs/>
          <w:sz w:val="24"/>
          <w:szCs w:val="24"/>
          <w:shd w:fill="FFFF99" w:val="clear"/>
        </w:rPr>
      </w:r>
    </w:p>
    <w:p>
      <w:pPr>
        <w:pStyle w:val="Normal"/>
        <w:rPr>
          <w:i/>
          <w:i/>
          <w:iCs/>
          <w:sz w:val="24"/>
          <w:szCs w:val="24"/>
          <w:shd w:fill="FFFF99" w:val="clear"/>
        </w:rPr>
      </w:pPr>
      <w:r>
        <w:rPr>
          <w:i/>
          <w:iCs/>
          <w:sz w:val="24"/>
          <w:szCs w:val="24"/>
          <w:shd w:fill="FFFF99" w:val="clear"/>
        </w:rPr>
      </w:r>
    </w:p>
    <w:p>
      <w:pPr>
        <w:pStyle w:val="Normal"/>
        <w:rPr>
          <w:i/>
          <w:i/>
          <w:iCs/>
          <w:sz w:val="24"/>
          <w:szCs w:val="24"/>
          <w:shd w:fill="FFFF99" w:val="clear"/>
        </w:rPr>
      </w:pPr>
      <w:r>
        <w:rPr>
          <w:i/>
          <w:iCs/>
          <w:sz w:val="24"/>
          <w:szCs w:val="24"/>
          <w:shd w:fill="FFFF99" w:val="clear"/>
        </w:rPr>
      </w:r>
    </w:p>
    <w:p>
      <w:pPr>
        <w:pStyle w:val="Normal"/>
        <w:rPr>
          <w:i/>
          <w:i/>
          <w:iCs/>
          <w:sz w:val="24"/>
          <w:szCs w:val="24"/>
          <w:shd w:fill="FFFF99" w:val="clear"/>
        </w:rPr>
      </w:pPr>
      <w:r>
        <w:rPr>
          <w:i/>
          <w:iCs/>
          <w:sz w:val="24"/>
          <w:szCs w:val="24"/>
          <w:shd w:fill="FFFF99" w:val="clear"/>
        </w:rPr>
      </w:r>
    </w:p>
    <w:p>
      <w:pPr>
        <w:pStyle w:val="Normal"/>
        <w:rPr>
          <w:i/>
          <w:i/>
          <w:iCs/>
          <w:sz w:val="24"/>
          <w:szCs w:val="24"/>
          <w:shd w:fill="FFFF99" w:val="clear"/>
        </w:rPr>
      </w:pPr>
      <w:r>
        <w:rPr>
          <w:i/>
          <w:iCs/>
          <w:sz w:val="24"/>
          <w:szCs w:val="24"/>
          <w:shd w:fill="FFFF99" w:val="clear"/>
        </w:rPr>
      </w:r>
    </w:p>
    <w:p>
      <w:pPr>
        <w:pStyle w:val="Normal"/>
        <w:rPr>
          <w:i/>
          <w:i/>
          <w:iCs/>
          <w:sz w:val="24"/>
          <w:szCs w:val="24"/>
          <w:shd w:fill="FFFF99" w:val="clear"/>
        </w:rPr>
      </w:pPr>
      <w:r>
        <w:rPr>
          <w:i/>
          <w:iCs/>
          <w:sz w:val="24"/>
          <w:szCs w:val="24"/>
          <w:shd w:fill="FFFF99" w:val="clear"/>
        </w:rPr>
      </w:r>
    </w:p>
    <w:p>
      <w:pPr>
        <w:pStyle w:val="Normal"/>
        <w:rPr>
          <w:i/>
          <w:i/>
          <w:iCs/>
          <w:sz w:val="24"/>
          <w:szCs w:val="24"/>
          <w:shd w:fill="FFFF99" w:val="clear"/>
        </w:rPr>
      </w:pPr>
      <w:r>
        <w:rPr>
          <w:i/>
          <w:iCs/>
          <w:sz w:val="24"/>
          <w:szCs w:val="24"/>
          <w:shd w:fill="FFFF99" w:val="clear"/>
        </w:rPr>
      </w:r>
    </w:p>
    <w:p>
      <w:pPr>
        <w:pStyle w:val="Normal"/>
        <w:rPr>
          <w:i/>
          <w:i/>
          <w:iCs/>
          <w:sz w:val="24"/>
          <w:szCs w:val="24"/>
          <w:shd w:fill="FFFF99" w:val="clear"/>
        </w:rPr>
      </w:pPr>
      <w:r>
        <w:rPr>
          <w:i/>
          <w:iCs/>
          <w:sz w:val="24"/>
          <w:szCs w:val="24"/>
          <w:shd w:fill="FFFF99" w:val="clear"/>
        </w:rPr>
      </w:r>
    </w:p>
    <w:p>
      <w:pPr>
        <w:pStyle w:val="Normal"/>
        <w:rPr>
          <w:i/>
          <w:i/>
          <w:iCs/>
          <w:sz w:val="24"/>
          <w:szCs w:val="24"/>
          <w:shd w:fill="FFFF99" w:val="clear"/>
        </w:rPr>
      </w:pPr>
      <w:r>
        <w:rPr>
          <w:i/>
          <w:iCs/>
          <w:sz w:val="24"/>
          <w:szCs w:val="24"/>
          <w:shd w:fill="FFFF99" w:val="clear"/>
        </w:rPr>
      </w:r>
    </w:p>
    <w:p>
      <w:pPr>
        <w:pStyle w:val="Normal"/>
        <w:rPr>
          <w:i/>
          <w:i/>
          <w:iCs/>
          <w:sz w:val="24"/>
          <w:szCs w:val="24"/>
          <w:shd w:fill="FFFF99" w:val="clear"/>
        </w:rPr>
      </w:pPr>
      <w:r>
        <w:rPr>
          <w:i/>
          <w:iCs/>
          <w:sz w:val="24"/>
          <w:szCs w:val="24"/>
          <w:shd w:fill="FFFF99" w:val="clear"/>
        </w:rPr>
      </w:r>
    </w:p>
    <w:p>
      <w:pPr>
        <w:pStyle w:val="Normal"/>
        <w:rPr>
          <w:i/>
          <w:i/>
          <w:iCs/>
          <w:sz w:val="24"/>
          <w:szCs w:val="24"/>
          <w:shd w:fill="FFFF99" w:val="clear"/>
        </w:rPr>
      </w:pPr>
      <w:r>
        <w:rPr>
          <w:i/>
          <w:iCs/>
          <w:sz w:val="24"/>
          <w:szCs w:val="24"/>
          <w:shd w:fill="FFFF99" w:val="clear"/>
        </w:rPr>
      </w:r>
    </w:p>
    <w:p>
      <w:pPr>
        <w:pStyle w:val="Normal"/>
        <w:rPr>
          <w:i/>
          <w:i/>
          <w:iCs/>
          <w:sz w:val="24"/>
          <w:szCs w:val="24"/>
          <w:shd w:fill="FFFF99" w:val="clear"/>
        </w:rPr>
      </w:pPr>
      <w:r>
        <w:rPr>
          <w:i/>
          <w:iCs/>
          <w:sz w:val="24"/>
          <w:szCs w:val="24"/>
          <w:shd w:fill="FFFF99" w:val="clear"/>
        </w:rPr>
      </w:r>
    </w:p>
    <w:p>
      <w:pPr>
        <w:pStyle w:val="Normal"/>
        <w:rPr>
          <w:i/>
          <w:i/>
          <w:iCs/>
          <w:sz w:val="24"/>
          <w:szCs w:val="24"/>
          <w:shd w:fill="FFFF99" w:val="clear"/>
        </w:rPr>
      </w:pPr>
      <w:r>
        <w:rPr>
          <w:i/>
          <w:iCs/>
          <w:sz w:val="24"/>
          <w:szCs w:val="24"/>
          <w:shd w:fill="FFFF99" w:val="clear"/>
        </w:rPr>
      </w:r>
    </w:p>
    <w:p>
      <w:pPr>
        <w:pStyle w:val="Normal"/>
        <w:rPr>
          <w:i/>
          <w:i/>
          <w:iCs/>
          <w:sz w:val="24"/>
          <w:szCs w:val="24"/>
          <w:shd w:fill="FFFF99" w:val="clear"/>
        </w:rPr>
      </w:pPr>
      <w:r>
        <w:rPr>
          <w:i/>
          <w:iCs/>
          <w:sz w:val="24"/>
          <w:szCs w:val="24"/>
          <w:shd w:fill="FFFF99" w:val="clear"/>
        </w:rPr>
      </w:r>
    </w:p>
    <w:p>
      <w:pPr>
        <w:pStyle w:val="Normal"/>
        <w:rPr>
          <w:i/>
          <w:i/>
          <w:iCs/>
          <w:sz w:val="24"/>
          <w:szCs w:val="24"/>
          <w:shd w:fill="FFFF99" w:val="clear"/>
        </w:rPr>
      </w:pPr>
      <w:r>
        <w:rPr>
          <w:i/>
          <w:iCs/>
          <w:sz w:val="24"/>
          <w:szCs w:val="24"/>
          <w:shd w:fill="FFFF99" w:val="clear"/>
        </w:rPr>
      </w:r>
    </w:p>
    <w:p>
      <w:pPr>
        <w:pStyle w:val="Normal"/>
        <w:rPr>
          <w:i/>
          <w:i/>
          <w:iCs/>
          <w:sz w:val="24"/>
          <w:szCs w:val="24"/>
          <w:shd w:fill="FFFF99" w:val="clear"/>
        </w:rPr>
      </w:pPr>
      <w:r>
        <w:rPr>
          <w:i/>
          <w:iCs/>
          <w:sz w:val="24"/>
          <w:szCs w:val="24"/>
          <w:shd w:fill="FFFF99" w:val="clear"/>
        </w:rPr>
      </w:r>
    </w:p>
    <w:p>
      <w:pPr>
        <w:pStyle w:val="Normal"/>
        <w:rPr>
          <w:i/>
          <w:i/>
          <w:iCs/>
          <w:sz w:val="24"/>
          <w:szCs w:val="24"/>
          <w:shd w:fill="FFFF99" w:val="clear"/>
        </w:rPr>
      </w:pPr>
      <w:r>
        <w:rPr>
          <w:i/>
          <w:iCs/>
          <w:sz w:val="24"/>
          <w:szCs w:val="24"/>
          <w:shd w:fill="FFFF99" w:val="clear"/>
        </w:rPr>
      </w:r>
    </w:p>
    <w:p>
      <w:pPr>
        <w:pStyle w:val="Normal"/>
        <w:rPr>
          <w:i/>
          <w:i/>
          <w:iCs/>
          <w:sz w:val="24"/>
          <w:szCs w:val="24"/>
          <w:shd w:fill="FFFF99" w:val="clear"/>
        </w:rPr>
      </w:pPr>
      <w:r>
        <w:rPr>
          <w:i/>
          <w:iCs/>
          <w:sz w:val="24"/>
          <w:szCs w:val="24"/>
          <w:shd w:fill="FFFF99" w:val="clear"/>
        </w:rPr>
      </w:r>
    </w:p>
    <w:p>
      <w:pPr>
        <w:pStyle w:val="Normal"/>
        <w:rPr>
          <w:i/>
          <w:i/>
          <w:iCs/>
          <w:sz w:val="24"/>
          <w:szCs w:val="24"/>
          <w:shd w:fill="FFFF99" w:val="clear"/>
        </w:rPr>
      </w:pPr>
      <w:r>
        <w:rPr>
          <w:i/>
          <w:iCs/>
          <w:sz w:val="24"/>
          <w:szCs w:val="24"/>
          <w:shd w:fill="FFFF99" w:val="clear"/>
        </w:rPr>
      </w:r>
    </w:p>
    <w:p>
      <w:pPr>
        <w:pStyle w:val="Normal"/>
        <w:rPr>
          <w:i/>
          <w:i/>
          <w:iCs/>
          <w:sz w:val="24"/>
          <w:szCs w:val="24"/>
          <w:shd w:fill="FFFF99" w:val="clear"/>
        </w:rPr>
      </w:pPr>
      <w:r>
        <w:rPr>
          <w:i/>
          <w:iCs/>
          <w:sz w:val="24"/>
          <w:szCs w:val="24"/>
          <w:shd w:fill="FFFF99" w:val="clear"/>
        </w:rPr>
      </w:r>
    </w:p>
    <w:p>
      <w:pPr>
        <w:pStyle w:val="Normal"/>
        <w:rPr>
          <w:i/>
          <w:i/>
          <w:iCs/>
          <w:sz w:val="24"/>
          <w:szCs w:val="24"/>
          <w:shd w:fill="FFFF99" w:val="clear"/>
        </w:rPr>
      </w:pPr>
      <w:r>
        <w:rPr>
          <w:i/>
          <w:iCs/>
          <w:sz w:val="24"/>
          <w:szCs w:val="24"/>
          <w:shd w:fill="FFFF99" w:val="clear"/>
        </w:rPr>
      </w:r>
    </w:p>
    <w:p>
      <w:pPr>
        <w:pStyle w:val="Normal"/>
        <w:rPr>
          <w:i/>
          <w:i/>
          <w:iCs/>
          <w:sz w:val="24"/>
          <w:szCs w:val="24"/>
          <w:shd w:fill="FFFF99" w:val="clear"/>
        </w:rPr>
      </w:pPr>
      <w:r>
        <w:rPr>
          <w:i/>
          <w:iCs/>
          <w:sz w:val="24"/>
          <w:szCs w:val="24"/>
          <w:shd w:fill="FFFF99" w:val="clear"/>
        </w:rPr>
      </w:r>
    </w:p>
    <w:p>
      <w:pPr>
        <w:pStyle w:val="Normal"/>
        <w:rPr>
          <w:i/>
          <w:i/>
          <w:iCs/>
          <w:sz w:val="24"/>
          <w:szCs w:val="24"/>
          <w:shd w:fill="FFFF99" w:val="clear"/>
        </w:rPr>
      </w:pPr>
      <w:r>
        <w:rPr>
          <w:i/>
          <w:iCs/>
          <w:sz w:val="24"/>
          <w:szCs w:val="24"/>
          <w:shd w:fill="FFFF99" w:val="clear"/>
        </w:rPr>
      </w:r>
    </w:p>
    <w:p>
      <w:pPr>
        <w:pStyle w:val="Normal"/>
        <w:rPr>
          <w:i/>
          <w:i/>
          <w:iCs/>
          <w:sz w:val="24"/>
          <w:szCs w:val="24"/>
          <w:shd w:fill="FFFF99" w:val="clear"/>
        </w:rPr>
      </w:pPr>
      <w:r>
        <w:rPr>
          <w:i/>
          <w:iCs/>
          <w:sz w:val="24"/>
          <w:szCs w:val="24"/>
          <w:shd w:fill="FFFF99" w:val="clear"/>
        </w:rPr>
      </w:r>
    </w:p>
    <w:p>
      <w:pPr>
        <w:pStyle w:val="Normal"/>
        <w:rPr>
          <w:i/>
          <w:i/>
          <w:iCs/>
          <w:sz w:val="24"/>
          <w:szCs w:val="24"/>
          <w:shd w:fill="FFFF99" w:val="clear"/>
        </w:rPr>
      </w:pPr>
      <w:r>
        <w:rPr>
          <w:i/>
          <w:iCs/>
          <w:sz w:val="24"/>
          <w:szCs w:val="24"/>
          <w:shd w:fill="FFFF99" w:val="clear"/>
        </w:rPr>
      </w:r>
    </w:p>
    <w:p>
      <w:pPr>
        <w:pStyle w:val="Normal"/>
        <w:rPr>
          <w:i/>
          <w:i/>
          <w:iCs/>
          <w:sz w:val="24"/>
          <w:szCs w:val="24"/>
          <w:shd w:fill="FFFF99" w:val="clear"/>
        </w:rPr>
      </w:pPr>
      <w:r>
        <w:rPr>
          <w:i/>
          <w:iCs/>
          <w:sz w:val="24"/>
          <w:szCs w:val="24"/>
          <w:shd w:fill="FFFF99" w:val="clear"/>
        </w:rPr>
      </w:r>
    </w:p>
    <w:p>
      <w:pPr>
        <w:pStyle w:val="Normal"/>
        <w:rPr>
          <w:i/>
          <w:i/>
          <w:iCs/>
          <w:sz w:val="24"/>
          <w:szCs w:val="24"/>
          <w:shd w:fill="FFFF99" w:val="clear"/>
        </w:rPr>
      </w:pPr>
      <w:r>
        <w:rPr>
          <w:i/>
          <w:iCs/>
          <w:sz w:val="24"/>
          <w:szCs w:val="24"/>
          <w:shd w:fill="FFFF99" w:val="clear"/>
        </w:rPr>
      </w:r>
    </w:p>
    <w:p>
      <w:pPr>
        <w:pStyle w:val="Normal"/>
        <w:rPr>
          <w:i/>
          <w:i/>
          <w:iCs/>
          <w:sz w:val="24"/>
          <w:szCs w:val="24"/>
          <w:shd w:fill="FFFF99" w:val="clear"/>
        </w:rPr>
      </w:pPr>
      <w:r>
        <w:rPr>
          <w:i/>
          <w:iCs/>
          <w:sz w:val="24"/>
          <w:szCs w:val="24"/>
          <w:shd w:fill="FFFF99" w:val="clear"/>
        </w:rPr>
      </w:r>
    </w:p>
    <w:p>
      <w:pPr>
        <w:pStyle w:val="Normal"/>
        <w:rPr>
          <w:i/>
          <w:i/>
          <w:iCs/>
          <w:sz w:val="24"/>
          <w:szCs w:val="24"/>
          <w:shd w:fill="FFFF99" w:val="clear"/>
        </w:rPr>
      </w:pPr>
      <w:r>
        <w:rPr>
          <w:i/>
          <w:iCs/>
          <w:sz w:val="24"/>
          <w:szCs w:val="24"/>
          <w:shd w:fill="FFFF99" w:val="clear"/>
        </w:rPr>
      </w:r>
    </w:p>
    <w:p>
      <w:pPr>
        <w:pStyle w:val="Normal"/>
        <w:rPr>
          <w:i/>
          <w:i/>
          <w:iCs/>
          <w:sz w:val="24"/>
          <w:szCs w:val="24"/>
          <w:shd w:fill="FFFF99" w:val="clear"/>
        </w:rPr>
      </w:pPr>
      <w:r>
        <w:rPr>
          <w:i/>
          <w:iCs/>
          <w:sz w:val="24"/>
          <w:szCs w:val="24"/>
          <w:shd w:fill="FFFF99" w:val="clear"/>
        </w:rPr>
      </w:r>
    </w:p>
    <w:p>
      <w:pPr>
        <w:pStyle w:val="Normal"/>
        <w:rPr>
          <w:i/>
          <w:i/>
          <w:iCs/>
          <w:sz w:val="24"/>
          <w:szCs w:val="24"/>
          <w:shd w:fill="FFFF99" w:val="clear"/>
        </w:rPr>
      </w:pPr>
      <w:r>
        <w:rPr>
          <w:i/>
          <w:iCs/>
          <w:sz w:val="24"/>
          <w:szCs w:val="24"/>
          <w:shd w:fill="FFFF99" w:val="clear"/>
        </w:rPr>
      </w:r>
    </w:p>
    <w:p>
      <w:pPr>
        <w:pStyle w:val="Normal"/>
        <w:rPr>
          <w:i/>
          <w:i/>
          <w:iCs/>
          <w:sz w:val="24"/>
          <w:szCs w:val="24"/>
          <w:shd w:fill="FFFF99" w:val="clear"/>
        </w:rPr>
      </w:pPr>
      <w:r>
        <w:rPr>
          <w:i/>
          <w:iCs/>
          <w:sz w:val="24"/>
          <w:szCs w:val="24"/>
          <w:shd w:fill="FFFF99" w:val="clear"/>
        </w:rPr>
      </w:r>
    </w:p>
    <w:p>
      <w:pPr>
        <w:pStyle w:val="Normal"/>
        <w:rPr>
          <w:i/>
          <w:i/>
          <w:iCs/>
          <w:sz w:val="24"/>
          <w:szCs w:val="24"/>
          <w:shd w:fill="FFFF99" w:val="clear"/>
        </w:rPr>
      </w:pPr>
      <w:r>
        <w:rPr>
          <w:i/>
          <w:iCs/>
          <w:sz w:val="24"/>
          <w:szCs w:val="24"/>
          <w:shd w:fill="FFFF99" w:val="clear"/>
        </w:rPr>
      </w:r>
    </w:p>
    <w:p>
      <w:pPr>
        <w:pStyle w:val="Normal"/>
        <w:rPr>
          <w:i/>
          <w:i/>
          <w:iCs/>
          <w:sz w:val="24"/>
          <w:szCs w:val="24"/>
          <w:shd w:fill="FFFF99" w:val="clear"/>
        </w:rPr>
      </w:pPr>
      <w:r>
        <w:rPr>
          <w:i/>
          <w:iCs/>
          <w:sz w:val="24"/>
          <w:szCs w:val="24"/>
          <w:shd w:fill="FFFF99" w:val="clear"/>
        </w:rPr>
      </w:r>
    </w:p>
    <w:p>
      <w:pPr>
        <w:pStyle w:val="Normal"/>
        <w:rPr>
          <w:i/>
          <w:i/>
          <w:iCs/>
          <w:sz w:val="24"/>
          <w:szCs w:val="24"/>
          <w:shd w:fill="FFFF99" w:val="clear"/>
        </w:rPr>
      </w:pPr>
      <w:r>
        <w:rPr>
          <w:i/>
          <w:iCs/>
          <w:sz w:val="24"/>
          <w:szCs w:val="24"/>
          <w:shd w:fill="FFFF99" w:val="clear"/>
        </w:rPr>
      </w:r>
    </w:p>
    <w:p>
      <w:pPr>
        <w:pStyle w:val="Normal"/>
        <w:rPr>
          <w:i/>
          <w:i/>
          <w:iCs/>
          <w:sz w:val="24"/>
          <w:szCs w:val="24"/>
          <w:shd w:fill="FFFF99" w:val="clear"/>
        </w:rPr>
      </w:pPr>
      <w:r>
        <w:rPr>
          <w:i/>
          <w:iCs/>
          <w:sz w:val="24"/>
          <w:szCs w:val="24"/>
          <w:shd w:fill="FFFF99" w:val="clear"/>
        </w:rPr>
      </w:r>
    </w:p>
    <w:p>
      <w:pPr>
        <w:pStyle w:val="Normal"/>
        <w:rPr>
          <w:iCs/>
          <w:sz w:val="24"/>
          <w:szCs w:val="24"/>
          <w:shd w:fill="FFFF99" w:val="clear"/>
        </w:rPr>
      </w:pPr>
      <w:r>
        <w:rPr>
          <w:iCs/>
          <w:sz w:val="24"/>
          <w:szCs w:val="24"/>
          <w:shd w:fill="FFFF99" w:val="clear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Список приложений: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1 - Техническое задание на оказание услуг</w:t>
      </w:r>
    </w:p>
    <w:sectPr>
      <w:headerReference w:type="default" r:id="rId7"/>
      <w:headerReference w:type="first" r:id="rId8"/>
      <w:footnotePr>
        <w:numFmt w:val="decimal"/>
        <w:numRestart w:val="eachPage"/>
      </w:footnotePr>
      <w:type w:val="nextPage"/>
      <w:pgSz w:w="11906" w:h="16838"/>
      <w:pgMar w:left="1134" w:right="851" w:gutter="0" w:header="680" w:top="1134" w:footer="0" w:bottom="992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PT Sans">
    <w:charset w:val="01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widowControl w:val="false"/>
        <w:rPr/>
      </w:pPr>
      <w:r>
        <w:rPr>
          <w:rStyle w:val="Style7"/>
        </w:rPr>
        <w:footnoteRef/>
      </w:r>
      <w:r>
        <w:rPr/>
        <w:t xml:space="preserve"> </w:t>
      </w:r>
      <w:r>
        <w:rPr/>
        <w:t>Проведения общественных слушаний и стейкхолдерского заверения Годового отчета должны произойти не позднее 31.05.2027.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 wp14:anchorId="3E257CCB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 wp14:anchorId="3E257CCB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7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9</w:t>
    </w:r>
    <w:r>
      <w:rPr/>
      <w:fldChar w:fldCharType="end"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32922271"/>
    </w:sdtPr>
    <w:sdtContent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8</w:t>
        </w:r>
        <w:r>
          <w:rPr/>
          <w:fldChar w:fldCharType="end"/>
        </w:r>
      </w:p>
    </w:sdtContent>
  </w:sdt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kern w:val="0"/>
        <w:effect w:val="none"/>
        <w:szCs w:val="24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118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trackRevisions/>
  <w:defaultTabStop w:val="708"/>
  <w:autoHyphenation w:val="true"/>
  <w:footnotePr>
    <w:numFmt w:val="decimal"/>
    <w:numRestart w:val="eachPage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umentProtection w:edit="trackedChanges" w:enforcement="1" w:cryptAlgorithmSid="14" w:cryptSpinCount="100000" w:cryptProviderType="rsaAES" w:cryptAlgorithmClass="hash" w:cryptAlgorithmType="typeAny" w:salt="DgWbUBZUtw483h2d7mN2GQ==" w:hash="SPningkqsA0HCugCpzPHSBVNhqwdddeR0swCs7BHdN82+kwzl8nZG6mV7En+uG+vy+IUX0fwfmSJZAwVVAa5cQ=="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uiPriority="0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a453e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eastAsia="ru-RU" w:val="ru-RU" w:bidi="ar-SA"/>
    </w:rPr>
  </w:style>
  <w:style w:type="paragraph" w:styleId="Heading1">
    <w:name w:val="Heading 1"/>
    <w:basedOn w:val="Heading3"/>
    <w:next w:val="Normal"/>
    <w:link w:val="1"/>
    <w:qFormat/>
    <w:rsid w:val="00fa453e"/>
    <w:pPr>
      <w:numPr>
        <w:ilvl w:val="0"/>
      </w:numPr>
      <w:outlineLvl w:val="0"/>
    </w:pPr>
    <w:rPr>
      <w:sz w:val="28"/>
      <w:szCs w:val="28"/>
    </w:rPr>
  </w:style>
  <w:style w:type="paragraph" w:styleId="Heading3">
    <w:name w:val="Heading 3"/>
    <w:basedOn w:val="Normal"/>
    <w:next w:val="Normal"/>
    <w:link w:val="3"/>
    <w:autoRedefine/>
    <w:qFormat/>
    <w:rsid w:val="00fa453e"/>
    <w:pPr>
      <w:keepNext w:val="true"/>
      <w:numPr>
        <w:ilvl w:val="2"/>
        <w:numId w:val="2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fa453e"/>
    <w:pPr>
      <w:numPr>
        <w:ilvl w:val="1"/>
      </w:numPr>
      <w:outlineLvl w:val="3"/>
    </w:pPr>
    <w:rPr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fa453e"/>
    <w:rPr>
      <w:rFonts w:ascii="Times New Roman" w:hAnsi="Times New Roman" w:eastAsia="Calibri" w:cs="Times New Roman"/>
      <w:b/>
      <w:sz w:val="28"/>
      <w:szCs w:val="28"/>
      <w:lang w:val="x-none" w:eastAsia="x-none"/>
    </w:rPr>
  </w:style>
  <w:style w:type="character" w:styleId="3" w:customStyle="1">
    <w:name w:val="Заголовок 3 Знак"/>
    <w:basedOn w:val="DefaultParagraphFont"/>
    <w:qFormat/>
    <w:rsid w:val="00fa453e"/>
    <w:rPr>
      <w:rFonts w:ascii="Times New Roman" w:hAnsi="Times New Roman" w:eastAsia="Calibri" w:cs="Times New Roman"/>
      <w:b/>
      <w:sz w:val="24"/>
      <w:szCs w:val="24"/>
      <w:lang w:val="x-none" w:eastAsia="x-none"/>
    </w:rPr>
  </w:style>
  <w:style w:type="character" w:styleId="4" w:customStyle="1">
    <w:name w:val="Заголовок 4 Знак"/>
    <w:basedOn w:val="DefaultParagraphFont"/>
    <w:qFormat/>
    <w:rsid w:val="00fa453e"/>
    <w:rPr>
      <w:rFonts w:ascii="Times New Roman" w:hAnsi="Times New Roman" w:eastAsia="Calibri" w:cs="Times New Roman"/>
      <w:b/>
      <w:bCs/>
      <w:sz w:val="24"/>
      <w:szCs w:val="24"/>
      <w:lang w:val="x-none" w:eastAsia="x-none"/>
    </w:rPr>
  </w:style>
  <w:style w:type="character" w:styleId="Style6" w:customStyle="1">
    <w:name w:val="Текст сноски Знак"/>
    <w:basedOn w:val="DefaultParagraphFont"/>
    <w:qFormat/>
    <w:rsid w:val="00fa453e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7" w:customStyle="1">
    <w:name w:val="Символ сноски"/>
    <w:qFormat/>
    <w:rsid w:val="00fa453e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8" w:customStyle="1">
    <w:name w:val="Верхний колонтитул Знак"/>
    <w:basedOn w:val="DefaultParagraphFont"/>
    <w:uiPriority w:val="99"/>
    <w:qFormat/>
    <w:rsid w:val="00fa453e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qFormat/>
    <w:rsid w:val="00fa453e"/>
    <w:rPr/>
  </w:style>
  <w:style w:type="character" w:styleId="Hyperlink">
    <w:name w:val="Hyperlink"/>
    <w:uiPriority w:val="99"/>
    <w:rsid w:val="00fa453e"/>
    <w:rPr>
      <w:color w:val="0000FF"/>
      <w:u w:val="single"/>
    </w:rPr>
  </w:style>
  <w:style w:type="character" w:styleId="Style9" w:customStyle="1">
    <w:name w:val="Абзац списка Знак"/>
    <w:link w:val="ListParagraph"/>
    <w:uiPriority w:val="34"/>
    <w:qFormat/>
    <w:locked/>
    <w:rsid w:val="00fa453e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0" w:customStyle="1">
    <w:name w:val="комментарий"/>
    <w:qFormat/>
    <w:rsid w:val="00fa453e"/>
    <w:rPr>
      <w:b/>
      <w:i/>
      <w:shd w:fill="FFFF99" w:val="clear"/>
    </w:rPr>
  </w:style>
  <w:style w:type="character" w:styleId="Style11" w:customStyle="1">
    <w:name w:val="Текст выноски Знак"/>
    <w:basedOn w:val="DefaultParagraphFont"/>
    <w:link w:val="BalloonText"/>
    <w:uiPriority w:val="99"/>
    <w:semiHidden/>
    <w:qFormat/>
    <w:rsid w:val="00320891"/>
    <w:rPr>
      <w:rFonts w:ascii="Segoe UI" w:hAnsi="Segoe UI" w:eastAsia="Times New Roman" w:cs="Segoe UI"/>
      <w:sz w:val="18"/>
      <w:szCs w:val="18"/>
      <w:lang w:eastAsia="ru-RU"/>
    </w:rPr>
  </w:style>
  <w:style w:type="character" w:styleId="Style12" w:customStyle="1">
    <w:name w:val="Ссылка указателя"/>
    <w:qFormat/>
    <w:rPr/>
  </w:style>
  <w:style w:type="character" w:styleId="Style13" w:customStyle="1">
    <w:name w:val="Символ концевой сноски"/>
    <w:qFormat/>
    <w:rPr/>
  </w:style>
  <w:style w:type="character" w:styleId="EndnoteReference">
    <w:name w:val="Endnote Reference"/>
    <w:rPr>
      <w:vertAlign w:val="superscript"/>
    </w:rPr>
  </w:style>
  <w:style w:type="character" w:styleId="Style14" w:customStyle="1">
    <w:name w:val="Текст примечания Знак"/>
    <w:basedOn w:val="DefaultParagraphFont"/>
    <w:link w:val="Annotationtext"/>
    <w:semiHidden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Annotation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styleId="Style15" w:customStyle="1">
    <w:name w:val="Тема примечания Знак"/>
    <w:basedOn w:val="Style14"/>
    <w:link w:val="Annotationsubject"/>
    <w:uiPriority w:val="99"/>
    <w:semiHidden/>
    <w:qFormat/>
    <w:rsid w:val="009531cc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PT Sans" w:hAnsi="PT Sans" w:eastAsia="Noto Sans CJK SC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 Unicode MS"/>
    </w:rPr>
  </w:style>
  <w:style w:type="paragraph" w:styleId="FootnoteText">
    <w:name w:val="Footnote Text"/>
    <w:basedOn w:val="Normal"/>
    <w:link w:val="Style6"/>
    <w:rsid w:val="00fa453e"/>
    <w:pPr/>
    <w:rPr>
      <w:sz w:val="20"/>
      <w:szCs w:val="20"/>
    </w:rPr>
  </w:style>
  <w:style w:type="paragraph" w:styleId="Style18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8"/>
    <w:uiPriority w:val="99"/>
    <w:rsid w:val="00fa453e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fa453e"/>
    <w:pPr>
      <w:tabs>
        <w:tab w:val="clear" w:pos="708"/>
        <w:tab w:val="right" w:pos="10195" w:leader="dot"/>
      </w:tabs>
      <w:spacing w:before="120" w:after="0"/>
    </w:pPr>
    <w:rPr>
      <w:rFonts w:cs="Calibri Light (Заголовки)"/>
      <w:b/>
      <w:bCs/>
      <w:sz w:val="20"/>
      <w:szCs w:val="20"/>
    </w:rPr>
  </w:style>
  <w:style w:type="paragraph" w:styleId="ListParagraph">
    <w:name w:val="List Paragraph"/>
    <w:basedOn w:val="Normal"/>
    <w:link w:val="Style9"/>
    <w:uiPriority w:val="34"/>
    <w:qFormat/>
    <w:rsid w:val="00fa453e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Style19" w:customStyle="1">
    <w:name w:val="Таблица шапка"/>
    <w:basedOn w:val="Normal"/>
    <w:qFormat/>
    <w:rsid w:val="00fa453e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BalloonText">
    <w:name w:val="Balloon Text"/>
    <w:basedOn w:val="Normal"/>
    <w:link w:val="Style11"/>
    <w:uiPriority w:val="99"/>
    <w:semiHidden/>
    <w:unhideWhenUsed/>
    <w:qFormat/>
    <w:rsid w:val="00320891"/>
    <w:pPr/>
    <w:rPr>
      <w:rFonts w:ascii="Segoe UI" w:hAnsi="Segoe UI" w:cs="Segoe UI"/>
      <w:sz w:val="18"/>
      <w:szCs w:val="18"/>
    </w:rPr>
  </w:style>
  <w:style w:type="paragraph" w:styleId="Style20" w:customStyle="1">
    <w:name w:val="Содержимое врезки"/>
    <w:basedOn w:val="Normal"/>
    <w:qFormat/>
    <w:pPr/>
    <w:rPr/>
  </w:style>
  <w:style w:type="paragraph" w:styleId="Annotationtext">
    <w:name w:val="annotation text"/>
    <w:basedOn w:val="Normal"/>
    <w:link w:val="Style14"/>
    <w:semiHidden/>
    <w:unhideWhenUsed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5"/>
    <w:uiPriority w:val="99"/>
    <w:semiHidden/>
    <w:unhideWhenUsed/>
    <w:qFormat/>
    <w:rsid w:val="009531cc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b">
    <w:name w:val="Table Grid"/>
    <w:basedOn w:val="a1"/>
    <w:uiPriority w:val="39"/>
    <w:rsid w:val="00fa453e"/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header" Target="header6.xml"/><Relationship Id="rId8" Type="http://schemas.openxmlformats.org/officeDocument/2006/relationships/header" Target="header7.xml"/><Relationship Id="rId9" Type="http://schemas.openxmlformats.org/officeDocument/2006/relationships/footnotes" Target="footnotes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Application>AlterOffice/3.4.0.9$Linux_X86_64 LibreOffice_project/b8daf9e823b1a5463a2f48435ddc2e8696e7d4fc</Application>
  <AppVersion>15.0000</AppVersion>
  <Pages>9</Pages>
  <Words>1067</Words>
  <Characters>7180</Characters>
  <CharactersWithSpaces>8125</CharactersWithSpaces>
  <Paragraphs>134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2026-07-27T10:39:00Z</dcterms:created>
  <dc:creator>Чепчук Виталий Игоревич</dc:creator>
  <dc:description/>
  <dc:language>ru-RU</dc:language>
  <cp:lastModifiedBy>bryksinalv@corp.gidroogk.com</cp:lastModifiedBy>
  <dcterms:modified xsi:type="dcterms:W3CDTF">2026-09-04T11:42:14Z</dcterms:modified>
  <cp:revision>39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1</vt:bool>
  </property>
</Properties>
</file>